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BB9" w:rsidRDefault="00042C10">
      <w:pPr>
        <w:pStyle w:val="ConsPlusNormal"/>
        <w:jc w:val="right"/>
      </w:pPr>
      <w:r>
        <w:t>"</w:t>
      </w:r>
      <w:proofErr w:type="spellStart"/>
      <w:r>
        <w:t>АйСи</w:t>
      </w:r>
      <w:proofErr w:type="spellEnd"/>
      <w:r>
        <w:t xml:space="preserve"> Групп", 2024</w:t>
      </w:r>
    </w:p>
    <w:p w:rsidR="009B5BB9" w:rsidRDefault="009B5BB9">
      <w:pPr>
        <w:pStyle w:val="ConsPlusNormal"/>
        <w:ind w:firstLine="540"/>
        <w:jc w:val="both"/>
        <w:outlineLvl w:val="0"/>
      </w:pPr>
    </w:p>
    <w:p w:rsidR="009B5BB9" w:rsidRDefault="00042C10">
      <w:pPr>
        <w:pStyle w:val="ConsPlusTitle"/>
        <w:jc w:val="center"/>
      </w:pPr>
      <w:r>
        <w:t>УЧЕТНАЯ ПОЛИТИКА 2024: БУХГАЛТЕРСКАЯ И НАЛОГОВАЯ</w:t>
      </w:r>
    </w:p>
    <w:p w:rsidR="009B5BB9" w:rsidRDefault="009B5BB9">
      <w:pPr>
        <w:pStyle w:val="ConsPlusNormal"/>
        <w:ind w:firstLine="540"/>
        <w:jc w:val="both"/>
      </w:pPr>
    </w:p>
    <w:p w:rsidR="009B5BB9" w:rsidRDefault="00042C10">
      <w:pPr>
        <w:pStyle w:val="ConsPlusNormal"/>
        <w:jc w:val="center"/>
        <w:rPr>
          <w:b/>
        </w:rPr>
      </w:pPr>
      <w:r>
        <w:rPr>
          <w:b/>
        </w:rPr>
        <w:t>Т.Л. КРУТЯКОВА</w:t>
      </w:r>
    </w:p>
    <w:p w:rsidR="009269C9" w:rsidRDefault="009269C9" w:rsidP="009269C9">
      <w:pPr>
        <w:pStyle w:val="ConsPlusNormal"/>
      </w:pPr>
      <w:r>
        <w:rPr>
          <w:b/>
        </w:rPr>
        <w:t>…..</w:t>
      </w:r>
    </w:p>
    <w:p w:rsidR="009B5BB9" w:rsidRDefault="00042C10">
      <w:pPr>
        <w:pStyle w:val="ConsPlusNormal"/>
        <w:ind w:firstLine="540"/>
        <w:jc w:val="both"/>
      </w:pPr>
      <w:r>
        <w:rPr>
          <w:b/>
        </w:rPr>
        <w:t>Правило 4.</w:t>
      </w:r>
    </w:p>
    <w:p w:rsidR="009B5BB9" w:rsidRPr="009269C9" w:rsidRDefault="00042C10">
      <w:pPr>
        <w:pStyle w:val="ConsPlusNormal"/>
        <w:spacing w:before="200"/>
        <w:ind w:firstLine="540"/>
        <w:jc w:val="both"/>
        <w:rPr>
          <w:highlight w:val="yellow"/>
        </w:rPr>
      </w:pPr>
      <w:r w:rsidRPr="009269C9">
        <w:rPr>
          <w:b/>
          <w:highlight w:val="yellow"/>
        </w:rPr>
        <w:t xml:space="preserve">Налоговый резерв не может превышать максимальную величину, которая определяется в соответствии с </w:t>
      </w:r>
      <w:hyperlink r:id="rId4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 w:rsidRPr="009269C9">
          <w:rPr>
            <w:b/>
            <w:color w:val="0000FF"/>
            <w:highlight w:val="yellow"/>
          </w:rPr>
          <w:t xml:space="preserve">п. 1 ст. </w:t>
        </w:r>
        <w:r w:rsidRPr="009269C9">
          <w:rPr>
            <w:b/>
            <w:color w:val="0000FF"/>
            <w:highlight w:val="yellow"/>
          </w:rPr>
          <w:t>266</w:t>
        </w:r>
      </w:hyperlink>
      <w:r w:rsidRPr="009269C9">
        <w:rPr>
          <w:b/>
          <w:highlight w:val="yellow"/>
        </w:rPr>
        <w:t xml:space="preserve"> НК РФ.</w:t>
      </w:r>
    </w:p>
    <w:p w:rsidR="009B5BB9" w:rsidRDefault="00042C10">
      <w:pPr>
        <w:pStyle w:val="ConsPlusNormal"/>
        <w:spacing w:before="200"/>
        <w:ind w:firstLine="540"/>
        <w:jc w:val="both"/>
      </w:pPr>
      <w:r w:rsidRPr="009269C9">
        <w:rPr>
          <w:highlight w:val="yellow"/>
        </w:rPr>
        <w:t>При этом установлены разные правила определения максимальной суммы резерва, исчисляемого по итогам отчетных периодов, и резерва, исчисляемого по итогам налогового периода.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 xml:space="preserve">При исчислении резерва </w:t>
      </w:r>
      <w:r>
        <w:rPr>
          <w:b/>
        </w:rPr>
        <w:t>по итогам отчетных периодов</w:t>
      </w:r>
      <w:r>
        <w:t xml:space="preserve"> максимальная сумма опр</w:t>
      </w:r>
      <w:r>
        <w:t>еделяется как большая из двух величин (</w:t>
      </w:r>
      <w:hyperlink r:id="rId5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>
          <w:rPr>
            <w:color w:val="0000FF"/>
          </w:rPr>
          <w:t>п. 4 ст. 266</w:t>
        </w:r>
      </w:hyperlink>
      <w:r>
        <w:t xml:space="preserve"> НК РФ):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- 10% выручки текущего отчетного периода;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- 10% выручки предыдущего налогового периода.</w:t>
      </w:r>
    </w:p>
    <w:p w:rsidR="009B5BB9" w:rsidRDefault="00042C10">
      <w:pPr>
        <w:pStyle w:val="ConsPlusNormal"/>
        <w:spacing w:before="200"/>
        <w:ind w:firstLine="540"/>
        <w:jc w:val="both"/>
      </w:pPr>
      <w:r w:rsidRPr="009269C9">
        <w:rPr>
          <w:highlight w:val="yellow"/>
        </w:rPr>
        <w:t xml:space="preserve">Максимальная сумма резерва </w:t>
      </w:r>
      <w:r w:rsidRPr="009269C9">
        <w:rPr>
          <w:b/>
          <w:highlight w:val="yellow"/>
        </w:rPr>
        <w:t>за налоговый период</w:t>
      </w:r>
      <w:r w:rsidRPr="009269C9">
        <w:rPr>
          <w:highlight w:val="yellow"/>
        </w:rPr>
        <w:t xml:space="preserve"> (т.е. по итогам года) не может превышать 10% выручки этого налогового</w:t>
      </w:r>
      <w:r w:rsidRPr="009269C9">
        <w:rPr>
          <w:highlight w:val="yellow"/>
        </w:rPr>
        <w:t xml:space="preserve"> периода.</w:t>
      </w:r>
    </w:p>
    <w:p w:rsidR="009B5BB9" w:rsidRDefault="009B5BB9">
      <w:pPr>
        <w:pStyle w:val="ConsPlusNormal"/>
        <w:ind w:firstLine="540"/>
        <w:jc w:val="both"/>
      </w:pPr>
    </w:p>
    <w:p w:rsidR="009B5BB9" w:rsidRDefault="00042C10">
      <w:pPr>
        <w:pStyle w:val="ConsPlusNormal"/>
        <w:ind w:firstLine="540"/>
        <w:jc w:val="both"/>
      </w:pPr>
      <w:r>
        <w:t xml:space="preserve">Примечание. В </w:t>
      </w:r>
      <w:hyperlink r:id="rId6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>
          <w:rPr>
            <w:color w:val="0000FF"/>
          </w:rPr>
          <w:t>гл. 25</w:t>
        </w:r>
      </w:hyperlink>
      <w:r>
        <w:t xml:space="preserve"> НК РФ нет норм, обязывающих в конце года восстанавливать неиспользованные суммы резерва. </w:t>
      </w:r>
      <w:hyperlink r:id="rId7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>
          <w:rPr>
            <w:color w:val="0000FF"/>
          </w:rPr>
          <w:t>Пункт 5 ст. 266</w:t>
        </w:r>
      </w:hyperlink>
      <w:r>
        <w:t xml:space="preserve"> НК РФ предусматривает возможность переноса остатка резерва, не использованного в текущем году, на следующий год при условии, конечно</w:t>
      </w:r>
      <w:r>
        <w:t>, что учетной политикой на следующий год также предусмотрено создание резерва по сомнительным долгам.</w:t>
      </w:r>
    </w:p>
    <w:p w:rsidR="009B5BB9" w:rsidRDefault="009B5BB9">
      <w:pPr>
        <w:pStyle w:val="ConsPlusNormal"/>
        <w:ind w:firstLine="540"/>
        <w:jc w:val="both"/>
      </w:pPr>
    </w:p>
    <w:p w:rsidR="009B5BB9" w:rsidRDefault="00042C10">
      <w:pPr>
        <w:pStyle w:val="ConsPlusNormal"/>
        <w:ind w:firstLine="540"/>
        <w:jc w:val="both"/>
      </w:pPr>
      <w:r>
        <w:t>Дебиторская задолженность при формировании резерва учитывается в полной сумме, включая НДС (</w:t>
      </w:r>
      <w:hyperlink r:id="rId8" w:tooltip="Вопрос: Об учете НДС при учете суммы сомнительной задолженности при формировании резерва по сомнительным долгам для целей налога на прибыль. (Письмо Минфина России от 11.06.2013 N 03-03-06/1/21726) {КонсультантПлюс}">
        <w:r>
          <w:rPr>
            <w:color w:val="0000FF"/>
          </w:rPr>
          <w:t>Письмо</w:t>
        </w:r>
      </w:hyperlink>
      <w:r>
        <w:t xml:space="preserve"> Минфина </w:t>
      </w:r>
      <w:r>
        <w:t>России от 11.06.2013 N 03-03-06/1/21726).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При этом в расчет суммы резерва включаются суммы дебиторской задолженности, выявленные при проведении инвентаризации, независимо от того, подтверждены они дебиторами или нет (</w:t>
      </w:r>
      <w:hyperlink r:id="rId9" w:tooltip="Вопрос: ...Организация планирует создание в налоговом учете резерва по сомнительным долгам. В соответствии с п. 4 ст. 266 НК РФ сумма резерва определяется по результатам инвентаризации дебиторской задолженности на последний день отчетного (налогового) периода.">
        <w:r>
          <w:rPr>
            <w:color w:val="0000FF"/>
          </w:rPr>
          <w:t>Письмо</w:t>
        </w:r>
      </w:hyperlink>
      <w:r>
        <w:t xml:space="preserve"> Минфина России от 26.07.2006 N 03-03-04/1/612).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 xml:space="preserve">Учитывая положения </w:t>
      </w:r>
      <w:hyperlink r:id="rId10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>
          <w:rPr>
            <w:color w:val="0000FF"/>
          </w:rPr>
          <w:t>ст. 266</w:t>
        </w:r>
      </w:hyperlink>
      <w:r>
        <w:t xml:space="preserve"> НК РФ, </w:t>
      </w:r>
      <w:r>
        <w:rPr>
          <w:b/>
        </w:rPr>
        <w:t>исчисление суммы резерва в течение года осуществляется следующим образом</w:t>
      </w:r>
      <w:r>
        <w:t xml:space="preserve"> (Письма Минфина России от 14.04.2022 </w:t>
      </w:r>
      <w:hyperlink r:id="rId11" w:tooltip="Вопрос: Об исчислении суммы резерва по сомнительным долгам в целях налога на прибыль. (Письмо Минфина России от 14.04.2022 N 03-03-06/1/32850) {КонсультантПлюс}">
        <w:r>
          <w:rPr>
            <w:color w:val="0000FF"/>
          </w:rPr>
          <w:t>N 03-03-06/1/32850</w:t>
        </w:r>
      </w:hyperlink>
      <w:r>
        <w:t>, о</w:t>
      </w:r>
      <w:r>
        <w:t xml:space="preserve">т 09.04.2021 </w:t>
      </w:r>
      <w:hyperlink r:id="rId12" w:tooltip="Вопрос: Об исчислении суммы резерва по сомнительным долгам в целях налога на прибыль. (Письмо Минфина России от 09.04.2021 N 03-03-06/1/26531) {КонсультантПлюс}">
        <w:r>
          <w:rPr>
            <w:color w:val="0000FF"/>
          </w:rPr>
          <w:t>N 03-03-06/1/26531</w:t>
        </w:r>
      </w:hyperlink>
      <w:r>
        <w:t xml:space="preserve">, от 08.02.2021 </w:t>
      </w:r>
      <w:hyperlink r:id="rId13" w:tooltip="Вопрос: Об исчислении суммы резерва по сомнительным долгам в целях налога на прибыль. (Письмо Минфина России от 08.02.2021 N 03-03-06/1/8003) {КонсультантПлюс}">
        <w:r>
          <w:rPr>
            <w:color w:val="0000FF"/>
          </w:rPr>
          <w:t>N 03-03-06/1/8003</w:t>
        </w:r>
      </w:hyperlink>
      <w:r>
        <w:t>):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1) рассчитанная по результатам инвентаризации сумма резерва корректируется с учетом установленных предельных величин резерва - 10% выручки за предыдущий налоговый период или 10% выручки за текущий отчетный пе</w:t>
      </w:r>
      <w:r>
        <w:t>риод (в зависимости от того, какая величина больше);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 xml:space="preserve">2) сумма скорректированного резерва сравнивается с суммой остатка резерва, исчисляемого как разница между суммой резерва, исчисленного на предыдущую отчетную дату по правилам, установленным </w:t>
      </w:r>
      <w:hyperlink r:id="rId14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>
          <w:rPr>
            <w:color w:val="0000FF"/>
          </w:rPr>
          <w:t>п. 4 ст. 2</w:t>
        </w:r>
        <w:r>
          <w:rPr>
            <w:color w:val="0000FF"/>
          </w:rPr>
          <w:t>66</w:t>
        </w:r>
      </w:hyperlink>
      <w:r>
        <w:t xml:space="preserve"> НК РФ, и суммой безнадежных долгов, возникших после предыдущей отчетной даты;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3) если сумма резерва, исчисленного на отчетную дату, меньше, чем сумма остатка резерва предыдущего отчетного (налогового) периода, разница подлежит включению в состав внереал</w:t>
      </w:r>
      <w:r>
        <w:t>изационных доходов налогоплательщика в текущем отчетном (налоговом) периоде, если больше - разница подлежит включению во внереализационные расходы в текущем отчетном (налоговом) периоде.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Создание и корректировка резерва по сомнительным долгам в порядке, ус</w:t>
      </w:r>
      <w:r>
        <w:t xml:space="preserve">тановленном </w:t>
      </w:r>
      <w:hyperlink r:id="rId15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>
          <w:rPr>
            <w:color w:val="0000FF"/>
          </w:rPr>
          <w:t>ст. 266</w:t>
        </w:r>
      </w:hyperlink>
      <w:r>
        <w:t xml:space="preserve"> НК РФ, осуществляются поступательно от периода к периоду на последнее число отчетного (налогового) периода </w:t>
      </w:r>
      <w:hyperlink w:anchor="P23" w:tooltip="&lt;1&gt; Обратите внимание! Установленный ст. 266 НК РФ порядок формирования резерва по сомнительным долгам не предполагает отслеживание в течение отчетного периода каждой конкретной задолженности на предмет ее погашения. В случае погашения в отчетном периоде дебит">
        <w:r>
          <w:rPr>
            <w:color w:val="0000FF"/>
          </w:rPr>
          <w:t>&lt;1&gt;</w:t>
        </w:r>
      </w:hyperlink>
      <w:r>
        <w:t>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B5BB9" w:rsidRDefault="00042C10">
      <w:pPr>
        <w:pStyle w:val="ConsPlusNormal"/>
        <w:spacing w:before="200"/>
        <w:ind w:firstLine="540"/>
        <w:jc w:val="both"/>
      </w:pPr>
      <w:bookmarkStart w:id="0" w:name="P23"/>
      <w:bookmarkEnd w:id="0"/>
      <w:r>
        <w:t xml:space="preserve">&lt;1&gt; Обратите внимание! Установленный </w:t>
      </w:r>
      <w:hyperlink r:id="rId16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>
          <w:rPr>
            <w:color w:val="0000FF"/>
          </w:rPr>
          <w:t>ст. 266</w:t>
        </w:r>
      </w:hyperlink>
      <w:r>
        <w:t xml:space="preserve"> НК РФ порядок формиров</w:t>
      </w:r>
      <w:r>
        <w:t xml:space="preserve">ания резерва по сомнительным долгам не предполагает отслеживание в течение отчетного периода каждой конкретной задолженности на предмет ее погашения. В случае погашения в отчетном периоде дебиторской </w:t>
      </w:r>
      <w:r>
        <w:lastRenderedPageBreak/>
        <w:t>задолженности, ранее учтенной в составе резерва, коррект</w:t>
      </w:r>
      <w:r>
        <w:t>ировать резерв не нужно. Указанное погашение будет учтено при инвентаризации задолженности на следующую отчетную дату (</w:t>
      </w:r>
      <w:hyperlink r:id="rId17" w:tooltip="Вопрос: О корректировке резерва по сомнительным долгам в целях налога на прибыль в случае погашения дебиторской задолженности, ранее учтенной в качестве сомнительного долга, после отчетной даты. (Письмо Минфина России от 03.06.2022 N 03-03-06/1/52716) {Консуль">
        <w:r>
          <w:rPr>
            <w:color w:val="0000FF"/>
          </w:rPr>
          <w:t>Письмо</w:t>
        </w:r>
      </w:hyperlink>
      <w:r>
        <w:t xml:space="preserve"> Минфина России от 03.06.2022 N 03-03-06</w:t>
      </w:r>
      <w:r>
        <w:t>/1/52716).</w:t>
      </w:r>
    </w:p>
    <w:p w:rsidR="009B5BB9" w:rsidRDefault="009B5BB9">
      <w:pPr>
        <w:pStyle w:val="ConsPlusNormal"/>
        <w:ind w:firstLine="540"/>
        <w:jc w:val="both"/>
      </w:pPr>
    </w:p>
    <w:p w:rsidR="009B5BB9" w:rsidRPr="009269C9" w:rsidRDefault="00042C10">
      <w:pPr>
        <w:pStyle w:val="ConsPlusNormal"/>
        <w:ind w:firstLine="540"/>
        <w:jc w:val="both"/>
        <w:rPr>
          <w:highlight w:val="yellow"/>
        </w:rPr>
      </w:pPr>
      <w:r w:rsidRPr="009269C9">
        <w:rPr>
          <w:highlight w:val="yellow"/>
        </w:rPr>
        <w:t xml:space="preserve">Примечание. В </w:t>
      </w:r>
      <w:hyperlink r:id="rId18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 w:rsidRPr="009269C9">
          <w:rPr>
            <w:color w:val="0000FF"/>
            <w:highlight w:val="yellow"/>
          </w:rPr>
          <w:t>ст. 266</w:t>
        </w:r>
      </w:hyperlink>
      <w:r w:rsidRPr="009269C9">
        <w:rPr>
          <w:highlight w:val="yellow"/>
        </w:rPr>
        <w:t xml:space="preserve"> </w:t>
      </w:r>
      <w:r w:rsidRPr="009269C9">
        <w:rPr>
          <w:highlight w:val="yellow"/>
        </w:rPr>
        <w:t>НК РФ определен алгоритм расчета отчислений в резерв по сомнительным долгам, который одинаков для всех налогоплательщиков. Отступать от этого алгоритма нельзя.</w:t>
      </w:r>
    </w:p>
    <w:p w:rsidR="009B5BB9" w:rsidRPr="009269C9" w:rsidRDefault="009B5BB9">
      <w:pPr>
        <w:pStyle w:val="ConsPlusNormal"/>
        <w:ind w:firstLine="540"/>
        <w:jc w:val="both"/>
        <w:rPr>
          <w:highlight w:val="yellow"/>
        </w:rPr>
      </w:pPr>
    </w:p>
    <w:p w:rsidR="009B5BB9" w:rsidRDefault="00042C10">
      <w:pPr>
        <w:pStyle w:val="ConsPlusNormal"/>
        <w:ind w:firstLine="540"/>
        <w:jc w:val="both"/>
      </w:pPr>
      <w:r w:rsidRPr="009269C9">
        <w:rPr>
          <w:highlight w:val="yellow"/>
        </w:rPr>
        <w:t xml:space="preserve">Вы не можете придумывать свои собственные правила расчета отчислений в резерв. </w:t>
      </w:r>
      <w:hyperlink r:id="rId19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 w:rsidRPr="009269C9">
          <w:rPr>
            <w:color w:val="0000FF"/>
            <w:highlight w:val="yellow"/>
          </w:rPr>
          <w:t>Глава 25</w:t>
        </w:r>
      </w:hyperlink>
      <w:r w:rsidRPr="009269C9">
        <w:rPr>
          <w:highlight w:val="yellow"/>
        </w:rPr>
        <w:t xml:space="preserve"> НК РФ дает ва</w:t>
      </w:r>
      <w:r w:rsidRPr="009269C9">
        <w:rPr>
          <w:highlight w:val="yellow"/>
        </w:rPr>
        <w:t>м право самостоятельно принять решение о создании резерва или об отказе от его создания. Если вы включаете в учетную политику решение о создании резерва по сомнительным долгам, то при расчете отчислений в резерв вы должны строго руководствоваться правилами</w:t>
      </w:r>
      <w:r w:rsidRPr="009269C9">
        <w:rPr>
          <w:highlight w:val="yellow"/>
        </w:rPr>
        <w:t xml:space="preserve">, закрепленными в </w:t>
      </w:r>
      <w:hyperlink r:id="rId20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 w:rsidRPr="009269C9">
          <w:rPr>
            <w:color w:val="0000FF"/>
            <w:highlight w:val="yellow"/>
          </w:rPr>
          <w:t>ст. 266</w:t>
        </w:r>
      </w:hyperlink>
      <w:r w:rsidRPr="009269C9">
        <w:rPr>
          <w:highlight w:val="yellow"/>
        </w:rPr>
        <w:t xml:space="preserve"> НК РФ</w:t>
      </w:r>
      <w:r>
        <w:t>.</w:t>
      </w:r>
    </w:p>
    <w:p w:rsidR="009B5BB9" w:rsidRDefault="00042C10">
      <w:pPr>
        <w:pStyle w:val="ConsPlusNormal"/>
        <w:spacing w:before="200"/>
        <w:ind w:firstLine="540"/>
        <w:jc w:val="both"/>
      </w:pPr>
      <w:r w:rsidRPr="009269C9">
        <w:rPr>
          <w:highlight w:val="yellow"/>
        </w:rPr>
        <w:t xml:space="preserve">Отступление от требований </w:t>
      </w:r>
      <w:hyperlink r:id="rId21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 w:rsidRPr="009269C9">
          <w:rPr>
            <w:color w:val="0000FF"/>
            <w:highlight w:val="yellow"/>
          </w:rPr>
          <w:t>ст. 266</w:t>
        </w:r>
      </w:hyperlink>
      <w:r w:rsidRPr="009269C9">
        <w:rPr>
          <w:highlight w:val="yellow"/>
        </w:rPr>
        <w:t xml:space="preserve"> НК РФ может привести к неправильному определению налоговой базы по налогу на прибыль и, как следствие, к доначислению налога на прибыль (см. </w:t>
      </w:r>
      <w:hyperlink r:id="rId22" w:tooltip="Постановление Арбитражного суда Поволжского округа от 07.02.2022 N Ф06-13287/2021 по делу N А55-7012/2020 Требование: О признании недействительными решений налогового органа. Обстоятельства: Налоговый орган доначислил налог на прибыль организаций, начислил пен">
        <w:r w:rsidRPr="009269C9">
          <w:rPr>
            <w:color w:val="0000FF"/>
            <w:highlight w:val="yellow"/>
          </w:rPr>
          <w:t>Постановление</w:t>
        </w:r>
      </w:hyperlink>
      <w:r w:rsidRPr="009269C9">
        <w:rPr>
          <w:highlight w:val="yellow"/>
        </w:rPr>
        <w:t xml:space="preserve"> АС Поволжского округа от 07.02.2022 N Ф06-13287/2021 по делу N А55-7012/2020 </w:t>
      </w:r>
      <w:hyperlink w:anchor="P30" w:tooltip="&lt;1&gt; Определением Верховного Суда РФ от 16.05.2022 N 306-ЭС22-7894 в пересмотре дела отказано.">
        <w:r w:rsidRPr="009269C9">
          <w:rPr>
            <w:color w:val="0000FF"/>
            <w:highlight w:val="yellow"/>
          </w:rPr>
          <w:t>&lt;1&gt;</w:t>
        </w:r>
      </w:hyperlink>
      <w:r w:rsidRPr="009269C9">
        <w:rPr>
          <w:highlight w:val="yellow"/>
        </w:rPr>
        <w:t>).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-----</w:t>
      </w:r>
      <w:r>
        <w:t>---------------------------</w:t>
      </w:r>
    </w:p>
    <w:p w:rsidR="009B5BB9" w:rsidRDefault="00042C10">
      <w:pPr>
        <w:pStyle w:val="ConsPlusNormal"/>
        <w:spacing w:before="200"/>
        <w:ind w:firstLine="540"/>
        <w:jc w:val="both"/>
      </w:pPr>
      <w:bookmarkStart w:id="1" w:name="P30"/>
      <w:bookmarkEnd w:id="1"/>
      <w:r>
        <w:t xml:space="preserve">&lt;1&gt; </w:t>
      </w:r>
      <w:hyperlink r:id="rId23" w:tooltip="Определение Верховного Суда РФ от 16.05.2022 N 306-ЭС22-7894 по делу N А55-7012/2020 Требование: О пересмотре в кассационном порядке судебных актов по делу о признании недействительными решений налогового органа. Обжалуемый результат спора: В удовлетворении тр">
        <w:r>
          <w:rPr>
            <w:color w:val="0000FF"/>
          </w:rPr>
          <w:t>Определением</w:t>
        </w:r>
      </w:hyperlink>
      <w:r>
        <w:t xml:space="preserve"> Верховного Суда РФ от 16.05.2022 N 306-ЭС22-7894 в пересмотре дела отказано.</w:t>
      </w:r>
    </w:p>
    <w:p w:rsidR="009B5BB9" w:rsidRDefault="009B5BB9">
      <w:pPr>
        <w:pStyle w:val="ConsPlusNormal"/>
        <w:ind w:firstLine="540"/>
        <w:jc w:val="both"/>
      </w:pPr>
    </w:p>
    <w:p w:rsidR="009B5BB9" w:rsidRDefault="00042C10">
      <w:pPr>
        <w:pStyle w:val="ConsPlusNormal"/>
        <w:ind w:firstLine="540"/>
        <w:jc w:val="both"/>
      </w:pPr>
      <w:r w:rsidRPr="009269C9">
        <w:rPr>
          <w:highlight w:val="yellow"/>
        </w:rPr>
        <w:t>Пример 2.9. Учетной политикой для целей нало</w:t>
      </w:r>
      <w:r w:rsidRPr="009269C9">
        <w:rPr>
          <w:highlight w:val="yellow"/>
        </w:rPr>
        <w:t>гообложения на 2024 год предусмотрено создание резерва по сомнительным долгам. В 2023 году резерв также создавался.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Неиспользованный остаток резерва на 1 января 2024 г. - 3 000 000 руб.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Результаты инвентаризации дебиторской задолженности за реализованные т</w:t>
      </w:r>
      <w:r>
        <w:t>овары (работы, услуги) за 2024 год:</w:t>
      </w:r>
    </w:p>
    <w:p w:rsidR="009B5BB9" w:rsidRDefault="009B5BB9">
      <w:pPr>
        <w:pStyle w:val="ConsPlusNormal"/>
        <w:ind w:firstLine="540"/>
        <w:jc w:val="both"/>
      </w:pPr>
    </w:p>
    <w:p w:rsidR="009B5BB9" w:rsidRDefault="00042C10">
      <w:pPr>
        <w:pStyle w:val="ConsPlusNormal"/>
        <w:jc w:val="right"/>
      </w:pPr>
      <w:r>
        <w:t>тыс. руб.</w:t>
      </w:r>
    </w:p>
    <w:p w:rsidR="009B5BB9" w:rsidRDefault="009B5BB9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1077"/>
        <w:gridCol w:w="1134"/>
        <w:gridCol w:w="1134"/>
        <w:gridCol w:w="1077"/>
      </w:tblGrid>
      <w:tr w:rsidR="009B5BB9">
        <w:tc>
          <w:tcPr>
            <w:tcW w:w="4649" w:type="dxa"/>
            <w:vMerge w:val="restart"/>
            <w:vAlign w:val="center"/>
          </w:tcPr>
          <w:p w:rsidR="009B5BB9" w:rsidRDefault="00042C10">
            <w:pPr>
              <w:pStyle w:val="ConsPlusNormal"/>
              <w:jc w:val="center"/>
            </w:pPr>
            <w:r>
              <w:t>Дебиторская задолженность с учетом НДС</w:t>
            </w:r>
          </w:p>
        </w:tc>
        <w:tc>
          <w:tcPr>
            <w:tcW w:w="4422" w:type="dxa"/>
            <w:gridSpan w:val="4"/>
            <w:vAlign w:val="center"/>
          </w:tcPr>
          <w:p w:rsidR="009B5BB9" w:rsidRDefault="00042C10">
            <w:pPr>
              <w:pStyle w:val="ConsPlusNormal"/>
              <w:jc w:val="center"/>
            </w:pPr>
            <w:r>
              <w:t>Результаты инвентаризации на отчетные даты</w:t>
            </w:r>
          </w:p>
        </w:tc>
      </w:tr>
      <w:tr w:rsidR="009B5BB9">
        <w:tc>
          <w:tcPr>
            <w:tcW w:w="4649" w:type="dxa"/>
            <w:vMerge/>
          </w:tcPr>
          <w:p w:rsidR="009B5BB9" w:rsidRDefault="009B5BB9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B5BB9" w:rsidRDefault="00042C10">
            <w:pPr>
              <w:pStyle w:val="ConsPlusNormal"/>
              <w:jc w:val="center"/>
            </w:pPr>
            <w:r>
              <w:t>31.03</w:t>
            </w:r>
          </w:p>
        </w:tc>
        <w:tc>
          <w:tcPr>
            <w:tcW w:w="1134" w:type="dxa"/>
            <w:vAlign w:val="center"/>
          </w:tcPr>
          <w:p w:rsidR="009B5BB9" w:rsidRDefault="00042C10">
            <w:pPr>
              <w:pStyle w:val="ConsPlusNormal"/>
              <w:jc w:val="center"/>
            </w:pPr>
            <w:r>
              <w:t>30.06</w:t>
            </w:r>
          </w:p>
        </w:tc>
        <w:tc>
          <w:tcPr>
            <w:tcW w:w="1134" w:type="dxa"/>
            <w:vAlign w:val="center"/>
          </w:tcPr>
          <w:p w:rsidR="009B5BB9" w:rsidRDefault="00042C10">
            <w:pPr>
              <w:pStyle w:val="ConsPlusNormal"/>
              <w:jc w:val="center"/>
            </w:pPr>
            <w:r>
              <w:t>30.09</w:t>
            </w:r>
          </w:p>
        </w:tc>
        <w:tc>
          <w:tcPr>
            <w:tcW w:w="1077" w:type="dxa"/>
            <w:vAlign w:val="center"/>
          </w:tcPr>
          <w:p w:rsidR="009B5BB9" w:rsidRDefault="00042C10">
            <w:pPr>
              <w:pStyle w:val="ConsPlusNormal"/>
              <w:jc w:val="center"/>
            </w:pPr>
            <w:r>
              <w:t>31.12</w:t>
            </w:r>
          </w:p>
        </w:tc>
      </w:tr>
      <w:tr w:rsidR="009B5BB9">
        <w:tblPrEx>
          <w:tblBorders>
            <w:insideH w:val="nil"/>
          </w:tblBorders>
        </w:tblPrEx>
        <w:tc>
          <w:tcPr>
            <w:tcW w:w="4649" w:type="dxa"/>
            <w:tcBorders>
              <w:bottom w:val="nil"/>
            </w:tcBorders>
          </w:tcPr>
          <w:p w:rsidR="009B5BB9" w:rsidRDefault="00042C10">
            <w:pPr>
              <w:pStyle w:val="ConsPlusNormal"/>
            </w:pPr>
            <w:r>
              <w:t>Сомнительная задолженность со сроком возникновения:</w:t>
            </w:r>
          </w:p>
        </w:tc>
        <w:tc>
          <w:tcPr>
            <w:tcW w:w="1077" w:type="dxa"/>
            <w:tcBorders>
              <w:bottom w:val="nil"/>
            </w:tcBorders>
          </w:tcPr>
          <w:p w:rsidR="009B5BB9" w:rsidRDefault="009B5BB9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bottom w:val="nil"/>
            </w:tcBorders>
          </w:tcPr>
          <w:p w:rsidR="009B5BB9" w:rsidRDefault="009B5BB9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bottom w:val="nil"/>
            </w:tcBorders>
          </w:tcPr>
          <w:p w:rsidR="009B5BB9" w:rsidRDefault="009B5BB9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bottom w:val="nil"/>
            </w:tcBorders>
          </w:tcPr>
          <w:p w:rsidR="009B5BB9" w:rsidRDefault="009B5BB9">
            <w:pPr>
              <w:pStyle w:val="ConsPlusNormal"/>
              <w:jc w:val="center"/>
            </w:pPr>
          </w:p>
        </w:tc>
      </w:tr>
      <w:tr w:rsidR="009B5BB9">
        <w:tblPrEx>
          <w:tblBorders>
            <w:insideH w:val="nil"/>
          </w:tblBorders>
        </w:tblPrEx>
        <w:tc>
          <w:tcPr>
            <w:tcW w:w="4649" w:type="dxa"/>
            <w:tcBorders>
              <w:top w:val="nil"/>
            </w:tcBorders>
          </w:tcPr>
          <w:p w:rsidR="009B5BB9" w:rsidRDefault="00042C10">
            <w:pPr>
              <w:pStyle w:val="ConsPlusNormal"/>
            </w:pPr>
            <w:r>
              <w:t>45 - 90 дней</w:t>
            </w:r>
          </w:p>
        </w:tc>
        <w:tc>
          <w:tcPr>
            <w:tcW w:w="1077" w:type="dxa"/>
            <w:tcBorders>
              <w:top w:val="nil"/>
            </w:tcBorders>
          </w:tcPr>
          <w:p w:rsidR="009B5BB9" w:rsidRDefault="00042C10">
            <w:pPr>
              <w:pStyle w:val="ConsPlusNormal"/>
              <w:jc w:val="center"/>
            </w:pPr>
            <w:r>
              <w:t>5 000</w:t>
            </w:r>
          </w:p>
        </w:tc>
        <w:tc>
          <w:tcPr>
            <w:tcW w:w="1134" w:type="dxa"/>
            <w:tcBorders>
              <w:top w:val="nil"/>
            </w:tcBorders>
          </w:tcPr>
          <w:p w:rsidR="009B5BB9" w:rsidRDefault="00042C10">
            <w:pPr>
              <w:pStyle w:val="ConsPlusNormal"/>
              <w:jc w:val="center"/>
            </w:pPr>
            <w:r>
              <w:t>2 000</w:t>
            </w:r>
          </w:p>
        </w:tc>
        <w:tc>
          <w:tcPr>
            <w:tcW w:w="1134" w:type="dxa"/>
            <w:tcBorders>
              <w:top w:val="nil"/>
            </w:tcBorders>
          </w:tcPr>
          <w:p w:rsidR="009B5BB9" w:rsidRDefault="00042C10">
            <w:pPr>
              <w:pStyle w:val="ConsPlusNormal"/>
              <w:jc w:val="center"/>
            </w:pPr>
            <w:r>
              <w:t>1 500</w:t>
            </w:r>
          </w:p>
        </w:tc>
        <w:tc>
          <w:tcPr>
            <w:tcW w:w="1077" w:type="dxa"/>
            <w:tcBorders>
              <w:top w:val="nil"/>
            </w:tcBorders>
          </w:tcPr>
          <w:p w:rsidR="009B5BB9" w:rsidRDefault="00042C10">
            <w:pPr>
              <w:pStyle w:val="ConsPlusNormal"/>
              <w:jc w:val="center"/>
            </w:pPr>
            <w:r>
              <w:t>2 500</w:t>
            </w:r>
          </w:p>
        </w:tc>
      </w:tr>
      <w:tr w:rsidR="009B5BB9">
        <w:tc>
          <w:tcPr>
            <w:tcW w:w="4649" w:type="dxa"/>
          </w:tcPr>
          <w:p w:rsidR="009B5BB9" w:rsidRDefault="00042C10">
            <w:pPr>
              <w:pStyle w:val="ConsPlusNormal"/>
            </w:pPr>
            <w:r>
              <w:t>свыше 90 дней</w:t>
            </w:r>
          </w:p>
        </w:tc>
        <w:tc>
          <w:tcPr>
            <w:tcW w:w="1077" w:type="dxa"/>
          </w:tcPr>
          <w:p w:rsidR="009B5BB9" w:rsidRDefault="00042C10">
            <w:pPr>
              <w:pStyle w:val="ConsPlusNormal"/>
              <w:jc w:val="center"/>
            </w:pPr>
            <w:r>
              <w:t>2 000</w:t>
            </w:r>
          </w:p>
        </w:tc>
        <w:tc>
          <w:tcPr>
            <w:tcW w:w="1134" w:type="dxa"/>
          </w:tcPr>
          <w:p w:rsidR="009B5BB9" w:rsidRDefault="00042C10">
            <w:pPr>
              <w:pStyle w:val="ConsPlusNormal"/>
              <w:jc w:val="center"/>
            </w:pPr>
            <w:r>
              <w:t>2 000</w:t>
            </w:r>
          </w:p>
        </w:tc>
        <w:tc>
          <w:tcPr>
            <w:tcW w:w="1134" w:type="dxa"/>
          </w:tcPr>
          <w:p w:rsidR="009B5BB9" w:rsidRDefault="00042C10">
            <w:pPr>
              <w:pStyle w:val="ConsPlusNormal"/>
              <w:jc w:val="center"/>
            </w:pPr>
            <w:r>
              <w:t>3 000</w:t>
            </w:r>
          </w:p>
        </w:tc>
        <w:tc>
          <w:tcPr>
            <w:tcW w:w="1077" w:type="dxa"/>
          </w:tcPr>
          <w:p w:rsidR="009B5BB9" w:rsidRDefault="00042C10">
            <w:pPr>
              <w:pStyle w:val="ConsPlusNormal"/>
              <w:jc w:val="center"/>
            </w:pPr>
            <w:r>
              <w:t>3 500</w:t>
            </w:r>
          </w:p>
        </w:tc>
      </w:tr>
      <w:tr w:rsidR="009B5BB9">
        <w:tc>
          <w:tcPr>
            <w:tcW w:w="4649" w:type="dxa"/>
          </w:tcPr>
          <w:p w:rsidR="009B5BB9" w:rsidRDefault="00042C10">
            <w:pPr>
              <w:pStyle w:val="ConsPlusNormal"/>
            </w:pPr>
            <w:r>
              <w:t>Безнадежные долги, подлежащие списанию</w:t>
            </w:r>
          </w:p>
        </w:tc>
        <w:tc>
          <w:tcPr>
            <w:tcW w:w="1077" w:type="dxa"/>
          </w:tcPr>
          <w:p w:rsidR="009B5BB9" w:rsidRDefault="00042C1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B5BB9" w:rsidRDefault="00042C1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B5BB9" w:rsidRDefault="00042C1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9B5BB9" w:rsidRDefault="00042C10">
            <w:pPr>
              <w:pStyle w:val="ConsPlusNormal"/>
              <w:jc w:val="center"/>
            </w:pPr>
            <w:r>
              <w:t>350</w:t>
            </w:r>
          </w:p>
        </w:tc>
      </w:tr>
    </w:tbl>
    <w:p w:rsidR="009B5BB9" w:rsidRDefault="009B5BB9">
      <w:pPr>
        <w:pStyle w:val="ConsPlusNormal"/>
        <w:ind w:firstLine="540"/>
        <w:jc w:val="both"/>
      </w:pPr>
    </w:p>
    <w:p w:rsidR="009B5BB9" w:rsidRDefault="00042C10">
      <w:pPr>
        <w:pStyle w:val="ConsPlusNormal"/>
        <w:ind w:firstLine="540"/>
        <w:jc w:val="both"/>
      </w:pPr>
      <w:r>
        <w:t>Величина выручки (без НДС) за 2023 год - 40 000 000 руб.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Величина выручки (без НДС) нарастающим итогом за 2024 год: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I квартал - 10 000 000 руб.;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полугодие - 20 000 000 руб.;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9 месяцев - 45 000 000 руб.;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год - 50 000 000 руб.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Формирование и использование резерва в течение 2024 года происходит следующим образом:</w:t>
      </w:r>
    </w:p>
    <w:p w:rsidR="009B5BB9" w:rsidRDefault="009B5BB9">
      <w:pPr>
        <w:pStyle w:val="ConsPlusNormal"/>
        <w:ind w:firstLine="540"/>
        <w:jc w:val="both"/>
      </w:pPr>
    </w:p>
    <w:p w:rsidR="009B5BB9" w:rsidRDefault="00042C10">
      <w:pPr>
        <w:pStyle w:val="ConsPlusNormal"/>
        <w:jc w:val="right"/>
      </w:pPr>
      <w:r>
        <w:t>тыс. руб.</w:t>
      </w:r>
    </w:p>
    <w:p w:rsidR="009B5BB9" w:rsidRDefault="009B5BB9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1020"/>
        <w:gridCol w:w="1304"/>
        <w:gridCol w:w="1247"/>
        <w:gridCol w:w="1361"/>
        <w:gridCol w:w="1191"/>
      </w:tblGrid>
      <w:tr w:rsidR="009B5BB9">
        <w:tc>
          <w:tcPr>
            <w:tcW w:w="2948" w:type="dxa"/>
            <w:vMerge w:val="restart"/>
          </w:tcPr>
          <w:p w:rsidR="009B5BB9" w:rsidRDefault="00042C10">
            <w:pPr>
              <w:pStyle w:val="ConsPlusNormal"/>
              <w:jc w:val="center"/>
            </w:pPr>
            <w:r>
              <w:lastRenderedPageBreak/>
              <w:t>Показатель</w:t>
            </w:r>
          </w:p>
        </w:tc>
        <w:tc>
          <w:tcPr>
            <w:tcW w:w="1020" w:type="dxa"/>
            <w:vMerge w:val="restart"/>
          </w:tcPr>
          <w:p w:rsidR="009B5BB9" w:rsidRDefault="00042C10">
            <w:pPr>
              <w:pStyle w:val="ConsPlusNormal"/>
              <w:jc w:val="center"/>
            </w:pPr>
            <w:r>
              <w:t>N строки</w:t>
            </w:r>
          </w:p>
        </w:tc>
        <w:tc>
          <w:tcPr>
            <w:tcW w:w="5103" w:type="dxa"/>
            <w:gridSpan w:val="4"/>
          </w:tcPr>
          <w:p w:rsidR="009B5BB9" w:rsidRDefault="00042C10">
            <w:pPr>
              <w:pStyle w:val="ConsPlusNormal"/>
              <w:jc w:val="center"/>
            </w:pPr>
            <w:r>
              <w:t>Расчет отчислений в резерв на отчетные даты 2024 года</w:t>
            </w:r>
          </w:p>
        </w:tc>
      </w:tr>
      <w:tr w:rsidR="009B5BB9">
        <w:tc>
          <w:tcPr>
            <w:tcW w:w="2948" w:type="dxa"/>
            <w:vMerge/>
          </w:tcPr>
          <w:p w:rsidR="009B5BB9" w:rsidRDefault="009B5BB9">
            <w:pPr>
              <w:pStyle w:val="ConsPlusNormal"/>
            </w:pPr>
          </w:p>
        </w:tc>
        <w:tc>
          <w:tcPr>
            <w:tcW w:w="1020" w:type="dxa"/>
            <w:vMerge/>
          </w:tcPr>
          <w:p w:rsidR="009B5BB9" w:rsidRDefault="009B5BB9">
            <w:pPr>
              <w:pStyle w:val="ConsPlusNormal"/>
            </w:pPr>
          </w:p>
        </w:tc>
        <w:tc>
          <w:tcPr>
            <w:tcW w:w="1304" w:type="dxa"/>
          </w:tcPr>
          <w:p w:rsidR="009B5BB9" w:rsidRDefault="00042C10">
            <w:pPr>
              <w:pStyle w:val="ConsPlusNormal"/>
              <w:jc w:val="center"/>
            </w:pPr>
            <w:r>
              <w:t>31.03</w:t>
            </w:r>
          </w:p>
        </w:tc>
        <w:tc>
          <w:tcPr>
            <w:tcW w:w="1247" w:type="dxa"/>
          </w:tcPr>
          <w:p w:rsidR="009B5BB9" w:rsidRDefault="00042C10">
            <w:pPr>
              <w:pStyle w:val="ConsPlusNormal"/>
              <w:jc w:val="center"/>
            </w:pPr>
            <w:r>
              <w:t>30.06</w:t>
            </w:r>
          </w:p>
        </w:tc>
        <w:tc>
          <w:tcPr>
            <w:tcW w:w="1361" w:type="dxa"/>
          </w:tcPr>
          <w:p w:rsidR="009B5BB9" w:rsidRDefault="00042C10">
            <w:pPr>
              <w:pStyle w:val="ConsPlusNormal"/>
              <w:jc w:val="center"/>
            </w:pPr>
            <w:r>
              <w:t>30.09</w:t>
            </w:r>
          </w:p>
        </w:tc>
        <w:tc>
          <w:tcPr>
            <w:tcW w:w="1191" w:type="dxa"/>
          </w:tcPr>
          <w:p w:rsidR="009B5BB9" w:rsidRDefault="00042C10">
            <w:pPr>
              <w:pStyle w:val="ConsPlusNormal"/>
              <w:jc w:val="center"/>
            </w:pPr>
            <w:r>
              <w:t>31.12</w:t>
            </w:r>
          </w:p>
        </w:tc>
      </w:tr>
      <w:tr w:rsidR="009B5BB9">
        <w:tc>
          <w:tcPr>
            <w:tcW w:w="2948" w:type="dxa"/>
          </w:tcPr>
          <w:p w:rsidR="009B5BB9" w:rsidRDefault="00042C10">
            <w:pPr>
              <w:pStyle w:val="ConsPlusNormal"/>
            </w:pPr>
            <w:bookmarkStart w:id="2" w:name="P80"/>
            <w:bookmarkEnd w:id="2"/>
            <w:r>
              <w:t>Расчет суммы резерва по данным инвентаризации дебиторской задолженности</w:t>
            </w:r>
          </w:p>
        </w:tc>
        <w:tc>
          <w:tcPr>
            <w:tcW w:w="1020" w:type="dxa"/>
          </w:tcPr>
          <w:p w:rsidR="009B5BB9" w:rsidRDefault="00042C1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B5BB9" w:rsidRDefault="00042C10">
            <w:pPr>
              <w:pStyle w:val="ConsPlusNormal"/>
              <w:jc w:val="center"/>
            </w:pPr>
            <w:r>
              <w:t>4 500</w:t>
            </w:r>
          </w:p>
          <w:p w:rsidR="009B5BB9" w:rsidRDefault="00042C10">
            <w:pPr>
              <w:pStyle w:val="ConsPlusNormal"/>
              <w:jc w:val="center"/>
            </w:pPr>
            <w:r>
              <w:t>(2 500 + 2 000)</w:t>
            </w:r>
          </w:p>
        </w:tc>
        <w:tc>
          <w:tcPr>
            <w:tcW w:w="1247" w:type="dxa"/>
          </w:tcPr>
          <w:p w:rsidR="009B5BB9" w:rsidRDefault="00042C10">
            <w:pPr>
              <w:pStyle w:val="ConsPlusNormal"/>
              <w:jc w:val="center"/>
            </w:pPr>
            <w:r>
              <w:t>3 000</w:t>
            </w:r>
          </w:p>
          <w:p w:rsidR="009B5BB9" w:rsidRDefault="00042C10">
            <w:pPr>
              <w:pStyle w:val="ConsPlusNormal"/>
              <w:jc w:val="center"/>
            </w:pPr>
            <w:r>
              <w:t>(1 000 + 2 000)</w:t>
            </w:r>
          </w:p>
        </w:tc>
        <w:tc>
          <w:tcPr>
            <w:tcW w:w="1361" w:type="dxa"/>
          </w:tcPr>
          <w:p w:rsidR="009B5BB9" w:rsidRDefault="00042C10">
            <w:pPr>
              <w:pStyle w:val="ConsPlusNormal"/>
              <w:jc w:val="center"/>
            </w:pPr>
            <w:r w:rsidRPr="009269C9">
              <w:rPr>
                <w:highlight w:val="yellow"/>
              </w:rPr>
              <w:t>3 750</w:t>
            </w:r>
          </w:p>
          <w:p w:rsidR="009B5BB9" w:rsidRDefault="00042C10">
            <w:pPr>
              <w:pStyle w:val="ConsPlusNormal"/>
              <w:jc w:val="center"/>
            </w:pPr>
            <w:r>
              <w:t>(750 + 3 000)</w:t>
            </w:r>
          </w:p>
        </w:tc>
        <w:tc>
          <w:tcPr>
            <w:tcW w:w="1191" w:type="dxa"/>
          </w:tcPr>
          <w:p w:rsidR="009B5BB9" w:rsidRDefault="00042C10">
            <w:pPr>
              <w:pStyle w:val="ConsPlusNormal"/>
              <w:jc w:val="center"/>
            </w:pPr>
            <w:r>
              <w:t>4 750</w:t>
            </w:r>
          </w:p>
          <w:p w:rsidR="009B5BB9" w:rsidRDefault="00042C10">
            <w:pPr>
              <w:pStyle w:val="ConsPlusNormal"/>
              <w:jc w:val="center"/>
            </w:pPr>
            <w:r>
              <w:t>(1 250 + 3 500)</w:t>
            </w:r>
          </w:p>
        </w:tc>
      </w:tr>
      <w:tr w:rsidR="009B5BB9">
        <w:tc>
          <w:tcPr>
            <w:tcW w:w="2948" w:type="dxa"/>
          </w:tcPr>
          <w:p w:rsidR="009B5BB9" w:rsidRDefault="00042C10">
            <w:pPr>
              <w:pStyle w:val="ConsPlusNormal"/>
            </w:pPr>
            <w:bookmarkStart w:id="3" w:name="P90"/>
            <w:bookmarkEnd w:id="3"/>
            <w:r>
              <w:t>Максимальный размер резерва</w:t>
            </w:r>
          </w:p>
        </w:tc>
        <w:tc>
          <w:tcPr>
            <w:tcW w:w="1020" w:type="dxa"/>
          </w:tcPr>
          <w:p w:rsidR="009B5BB9" w:rsidRDefault="00042C1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9B5BB9" w:rsidRDefault="00042C10">
            <w:pPr>
              <w:pStyle w:val="ConsPlusNormal"/>
              <w:jc w:val="center"/>
            </w:pPr>
            <w:r>
              <w:t>4 000</w:t>
            </w:r>
          </w:p>
        </w:tc>
        <w:tc>
          <w:tcPr>
            <w:tcW w:w="1247" w:type="dxa"/>
          </w:tcPr>
          <w:p w:rsidR="009B5BB9" w:rsidRDefault="00042C10">
            <w:pPr>
              <w:pStyle w:val="ConsPlusNormal"/>
              <w:jc w:val="center"/>
            </w:pPr>
            <w:r>
              <w:t>4 000</w:t>
            </w:r>
          </w:p>
        </w:tc>
        <w:tc>
          <w:tcPr>
            <w:tcW w:w="1361" w:type="dxa"/>
          </w:tcPr>
          <w:p w:rsidR="009B5BB9" w:rsidRDefault="00042C10">
            <w:pPr>
              <w:pStyle w:val="ConsPlusNormal"/>
              <w:jc w:val="center"/>
            </w:pPr>
            <w:r>
              <w:t>4 500</w:t>
            </w:r>
          </w:p>
        </w:tc>
        <w:tc>
          <w:tcPr>
            <w:tcW w:w="1191" w:type="dxa"/>
          </w:tcPr>
          <w:p w:rsidR="009B5BB9" w:rsidRDefault="00042C10">
            <w:pPr>
              <w:pStyle w:val="ConsPlusNormal"/>
              <w:jc w:val="center"/>
            </w:pPr>
            <w:r w:rsidRPr="009269C9">
              <w:rPr>
                <w:highlight w:val="yellow"/>
              </w:rPr>
              <w:t>5 000</w:t>
            </w:r>
          </w:p>
        </w:tc>
      </w:tr>
      <w:tr w:rsidR="009B5BB9">
        <w:tc>
          <w:tcPr>
            <w:tcW w:w="2948" w:type="dxa"/>
          </w:tcPr>
          <w:p w:rsidR="009B5BB9" w:rsidRDefault="00042C10">
            <w:pPr>
              <w:pStyle w:val="ConsPlusNormal"/>
            </w:pPr>
            <w:bookmarkStart w:id="4" w:name="P96"/>
            <w:bookmarkEnd w:id="4"/>
            <w:r>
              <w:rPr>
                <w:b/>
              </w:rPr>
              <w:t>Сумма создаваемого резерва (</w:t>
            </w:r>
            <w:hyperlink w:anchor="P80" w:tooltip="Расчет суммы резерва по данным инвентаризации дебиторской задолженности">
              <w:r>
                <w:rPr>
                  <w:b/>
                  <w:color w:val="0000FF"/>
                </w:rPr>
                <w:t>строка 1</w:t>
              </w:r>
            </w:hyperlink>
            <w:r>
              <w:rPr>
                <w:b/>
              </w:rPr>
              <w:t xml:space="preserve">, но не более </w:t>
            </w:r>
            <w:hyperlink w:anchor="P90" w:tooltip="Максимальный размер резерва">
              <w:r>
                <w:rPr>
                  <w:b/>
                  <w:color w:val="0000FF"/>
                </w:rPr>
                <w:t>строки 2</w:t>
              </w:r>
            </w:hyperlink>
            <w:r>
              <w:rPr>
                <w:b/>
              </w:rPr>
              <w:t>)</w:t>
            </w:r>
          </w:p>
        </w:tc>
        <w:tc>
          <w:tcPr>
            <w:tcW w:w="1020" w:type="dxa"/>
          </w:tcPr>
          <w:p w:rsidR="009B5BB9" w:rsidRDefault="00042C1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B5BB9" w:rsidRDefault="00042C10">
            <w:pPr>
              <w:pStyle w:val="ConsPlusNormal"/>
              <w:jc w:val="center"/>
            </w:pPr>
            <w:r>
              <w:rPr>
                <w:b/>
              </w:rPr>
              <w:t>4 000</w:t>
            </w:r>
          </w:p>
        </w:tc>
        <w:tc>
          <w:tcPr>
            <w:tcW w:w="1247" w:type="dxa"/>
          </w:tcPr>
          <w:p w:rsidR="009B5BB9" w:rsidRDefault="00042C10">
            <w:pPr>
              <w:pStyle w:val="ConsPlusNormal"/>
              <w:jc w:val="center"/>
            </w:pPr>
            <w:r>
              <w:rPr>
                <w:b/>
              </w:rPr>
              <w:t>3 000</w:t>
            </w:r>
          </w:p>
        </w:tc>
        <w:tc>
          <w:tcPr>
            <w:tcW w:w="1361" w:type="dxa"/>
          </w:tcPr>
          <w:p w:rsidR="009B5BB9" w:rsidRDefault="00042C10">
            <w:pPr>
              <w:pStyle w:val="ConsPlusNormal"/>
              <w:jc w:val="center"/>
            </w:pPr>
            <w:r>
              <w:rPr>
                <w:b/>
              </w:rPr>
              <w:t>3 750</w:t>
            </w:r>
          </w:p>
        </w:tc>
        <w:tc>
          <w:tcPr>
            <w:tcW w:w="1191" w:type="dxa"/>
          </w:tcPr>
          <w:p w:rsidR="009B5BB9" w:rsidRDefault="00042C10">
            <w:pPr>
              <w:pStyle w:val="ConsPlusNormal"/>
              <w:jc w:val="center"/>
            </w:pPr>
            <w:r w:rsidRPr="009269C9">
              <w:rPr>
                <w:b/>
                <w:highlight w:val="yellow"/>
              </w:rPr>
              <w:t>4 750</w:t>
            </w:r>
          </w:p>
        </w:tc>
      </w:tr>
      <w:tr w:rsidR="009B5BB9">
        <w:tc>
          <w:tcPr>
            <w:tcW w:w="2948" w:type="dxa"/>
          </w:tcPr>
          <w:p w:rsidR="009B5BB9" w:rsidRDefault="00042C10">
            <w:pPr>
              <w:pStyle w:val="ConsPlusNormal"/>
            </w:pPr>
            <w:bookmarkStart w:id="5" w:name="P102"/>
            <w:bookmarkEnd w:id="5"/>
            <w:r>
              <w:t>Сумма безнадежных долгов, списываемых за счет резерва</w:t>
            </w:r>
          </w:p>
        </w:tc>
        <w:tc>
          <w:tcPr>
            <w:tcW w:w="1020" w:type="dxa"/>
          </w:tcPr>
          <w:p w:rsidR="009B5BB9" w:rsidRDefault="00042C1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B5BB9" w:rsidRDefault="00042C1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9B5BB9" w:rsidRDefault="00042C1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9B5BB9" w:rsidRDefault="00042C1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B5BB9" w:rsidRDefault="00042C10">
            <w:pPr>
              <w:pStyle w:val="ConsPlusNormal"/>
              <w:jc w:val="center"/>
            </w:pPr>
            <w:r>
              <w:t>350</w:t>
            </w:r>
          </w:p>
        </w:tc>
      </w:tr>
      <w:tr w:rsidR="009B5BB9">
        <w:tc>
          <w:tcPr>
            <w:tcW w:w="2948" w:type="dxa"/>
          </w:tcPr>
          <w:p w:rsidR="009B5BB9" w:rsidRDefault="00042C10">
            <w:pPr>
              <w:pStyle w:val="ConsPlusNormal"/>
            </w:pPr>
            <w:bookmarkStart w:id="6" w:name="P108"/>
            <w:bookmarkEnd w:id="6"/>
            <w:r>
              <w:t>Неиспользованный остаток резерва предыдущего периода (сумма резерва на предыдущую отчетную дату - сумма безнадежных долгов, возникших после предыдущей отчетной даты)</w:t>
            </w:r>
          </w:p>
        </w:tc>
        <w:tc>
          <w:tcPr>
            <w:tcW w:w="1020" w:type="dxa"/>
          </w:tcPr>
          <w:p w:rsidR="009B5BB9" w:rsidRDefault="00042C1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9B5BB9" w:rsidRDefault="00042C10">
            <w:pPr>
              <w:pStyle w:val="ConsPlusNormal"/>
              <w:jc w:val="center"/>
            </w:pPr>
            <w:r>
              <w:t>3 000</w:t>
            </w:r>
          </w:p>
        </w:tc>
        <w:tc>
          <w:tcPr>
            <w:tcW w:w="1247" w:type="dxa"/>
          </w:tcPr>
          <w:p w:rsidR="009B5BB9" w:rsidRDefault="00042C10">
            <w:pPr>
              <w:pStyle w:val="ConsPlusNormal"/>
              <w:jc w:val="center"/>
            </w:pPr>
            <w:r>
              <w:t>4 000</w:t>
            </w:r>
          </w:p>
        </w:tc>
        <w:tc>
          <w:tcPr>
            <w:tcW w:w="1361" w:type="dxa"/>
          </w:tcPr>
          <w:p w:rsidR="009B5BB9" w:rsidRDefault="00042C10">
            <w:pPr>
              <w:pStyle w:val="ConsPlusNormal"/>
              <w:jc w:val="center"/>
            </w:pPr>
            <w:r>
              <w:t>3 000</w:t>
            </w:r>
          </w:p>
        </w:tc>
        <w:tc>
          <w:tcPr>
            <w:tcW w:w="1191" w:type="dxa"/>
          </w:tcPr>
          <w:p w:rsidR="009B5BB9" w:rsidRDefault="00042C10">
            <w:pPr>
              <w:pStyle w:val="ConsPlusNormal"/>
              <w:jc w:val="center"/>
            </w:pPr>
            <w:r>
              <w:t>3 4</w:t>
            </w:r>
            <w:r>
              <w:t>00</w:t>
            </w:r>
          </w:p>
          <w:p w:rsidR="009B5BB9" w:rsidRDefault="00042C10">
            <w:pPr>
              <w:pStyle w:val="ConsPlusNormal"/>
              <w:jc w:val="center"/>
            </w:pPr>
            <w:r w:rsidRPr="009269C9">
              <w:rPr>
                <w:highlight w:val="yellow"/>
              </w:rPr>
              <w:t>(3 750 - 350)</w:t>
            </w:r>
          </w:p>
        </w:tc>
      </w:tr>
      <w:tr w:rsidR="009B5BB9">
        <w:tc>
          <w:tcPr>
            <w:tcW w:w="2948" w:type="dxa"/>
          </w:tcPr>
          <w:p w:rsidR="009B5BB9" w:rsidRDefault="00042C10">
            <w:pPr>
              <w:pStyle w:val="ConsPlusNormal"/>
            </w:pPr>
            <w:bookmarkStart w:id="7" w:name="P115"/>
            <w:bookmarkEnd w:id="7"/>
            <w:r>
              <w:rPr>
                <w:b/>
              </w:rPr>
              <w:t>Сумма доначисления (+) / уменьшения (-) резерва (</w:t>
            </w:r>
            <w:hyperlink w:anchor="P96" w:tooltip="Сумма создаваемого резерва (строка 1, но не более строки 2)">
              <w:r>
                <w:rPr>
                  <w:b/>
                  <w:color w:val="0000FF"/>
                </w:rPr>
                <w:t>строка 3</w:t>
              </w:r>
            </w:hyperlink>
            <w:r>
              <w:rPr>
                <w:b/>
              </w:rPr>
              <w:t xml:space="preserve"> - </w:t>
            </w:r>
            <w:hyperlink w:anchor="P108" w:tooltip="Неиспользованный остаток резерва предыдущего периода (сумма резерва на предыдущую отчетную дату - сумма безнадежных долгов, возникших после предыдущей отчетной даты)">
              <w:r>
                <w:rPr>
                  <w:b/>
                  <w:color w:val="0000FF"/>
                </w:rPr>
                <w:t>строка 5</w:t>
              </w:r>
            </w:hyperlink>
            <w:r>
              <w:rPr>
                <w:b/>
              </w:rPr>
              <w:t>)</w:t>
            </w:r>
          </w:p>
        </w:tc>
        <w:tc>
          <w:tcPr>
            <w:tcW w:w="1020" w:type="dxa"/>
          </w:tcPr>
          <w:p w:rsidR="009B5BB9" w:rsidRDefault="00042C1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9B5BB9" w:rsidRDefault="00042C10">
            <w:pPr>
              <w:pStyle w:val="ConsPlusNormal"/>
              <w:jc w:val="center"/>
            </w:pPr>
            <w:r>
              <w:rPr>
                <w:b/>
              </w:rPr>
              <w:t>+1 000</w:t>
            </w:r>
          </w:p>
        </w:tc>
        <w:tc>
          <w:tcPr>
            <w:tcW w:w="1247" w:type="dxa"/>
          </w:tcPr>
          <w:p w:rsidR="009B5BB9" w:rsidRDefault="00042C10">
            <w:pPr>
              <w:pStyle w:val="ConsPlusNormal"/>
              <w:jc w:val="center"/>
            </w:pPr>
            <w:r>
              <w:rPr>
                <w:b/>
              </w:rPr>
              <w:t>-1 000</w:t>
            </w:r>
          </w:p>
        </w:tc>
        <w:tc>
          <w:tcPr>
            <w:tcW w:w="1361" w:type="dxa"/>
          </w:tcPr>
          <w:p w:rsidR="009B5BB9" w:rsidRDefault="00042C10">
            <w:pPr>
              <w:pStyle w:val="ConsPlusNormal"/>
              <w:jc w:val="center"/>
            </w:pPr>
            <w:r>
              <w:rPr>
                <w:b/>
              </w:rPr>
              <w:t>+750</w:t>
            </w:r>
          </w:p>
        </w:tc>
        <w:tc>
          <w:tcPr>
            <w:tcW w:w="1191" w:type="dxa"/>
          </w:tcPr>
          <w:p w:rsidR="009B5BB9" w:rsidRDefault="00042C10">
            <w:pPr>
              <w:pStyle w:val="ConsPlusNormal"/>
              <w:jc w:val="center"/>
            </w:pPr>
            <w:r w:rsidRPr="00042C10">
              <w:rPr>
                <w:b/>
                <w:highlight w:val="yellow"/>
              </w:rPr>
              <w:t>+1 350</w:t>
            </w:r>
            <w:bookmarkStart w:id="8" w:name="_GoBack"/>
            <w:bookmarkEnd w:id="8"/>
          </w:p>
        </w:tc>
      </w:tr>
      <w:tr w:rsidR="009B5BB9">
        <w:tc>
          <w:tcPr>
            <w:tcW w:w="2948" w:type="dxa"/>
          </w:tcPr>
          <w:p w:rsidR="009B5BB9" w:rsidRDefault="00042C10">
            <w:pPr>
              <w:pStyle w:val="ConsPlusNormal"/>
            </w:pPr>
            <w:r>
              <w:t>Сумма резерва, перено</w:t>
            </w:r>
            <w:r>
              <w:t>симая на следующий период</w:t>
            </w:r>
          </w:p>
        </w:tc>
        <w:tc>
          <w:tcPr>
            <w:tcW w:w="1020" w:type="dxa"/>
          </w:tcPr>
          <w:p w:rsidR="009B5BB9" w:rsidRDefault="00042C1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9B5BB9" w:rsidRDefault="00042C10">
            <w:pPr>
              <w:pStyle w:val="ConsPlusNormal"/>
              <w:jc w:val="center"/>
            </w:pPr>
            <w:r>
              <w:t>4 000</w:t>
            </w:r>
          </w:p>
        </w:tc>
        <w:tc>
          <w:tcPr>
            <w:tcW w:w="1247" w:type="dxa"/>
          </w:tcPr>
          <w:p w:rsidR="009B5BB9" w:rsidRDefault="00042C10">
            <w:pPr>
              <w:pStyle w:val="ConsPlusNormal"/>
              <w:jc w:val="center"/>
            </w:pPr>
            <w:r>
              <w:t>3 000</w:t>
            </w:r>
          </w:p>
        </w:tc>
        <w:tc>
          <w:tcPr>
            <w:tcW w:w="1361" w:type="dxa"/>
          </w:tcPr>
          <w:p w:rsidR="009B5BB9" w:rsidRDefault="00042C10">
            <w:pPr>
              <w:pStyle w:val="ConsPlusNormal"/>
              <w:jc w:val="center"/>
            </w:pPr>
            <w:r>
              <w:t>3 750</w:t>
            </w:r>
          </w:p>
        </w:tc>
        <w:tc>
          <w:tcPr>
            <w:tcW w:w="1191" w:type="dxa"/>
          </w:tcPr>
          <w:p w:rsidR="009B5BB9" w:rsidRDefault="00042C10">
            <w:pPr>
              <w:pStyle w:val="ConsPlusNormal"/>
              <w:jc w:val="center"/>
            </w:pPr>
            <w:r>
              <w:t>4 750</w:t>
            </w:r>
          </w:p>
        </w:tc>
      </w:tr>
    </w:tbl>
    <w:p w:rsidR="009B5BB9" w:rsidRDefault="009B5BB9">
      <w:pPr>
        <w:pStyle w:val="ConsPlusNormal"/>
        <w:ind w:firstLine="540"/>
        <w:jc w:val="both"/>
      </w:pPr>
    </w:p>
    <w:p w:rsidR="009B5BB9" w:rsidRDefault="00042C10">
      <w:pPr>
        <w:pStyle w:val="ConsPlusNormal"/>
        <w:ind w:firstLine="540"/>
        <w:jc w:val="both"/>
      </w:pPr>
      <w:r>
        <w:t xml:space="preserve">Для расчета максимальной суммы резерва </w:t>
      </w:r>
      <w:hyperlink w:anchor="P90" w:tooltip="Максимальный размер резерва">
        <w:r>
          <w:rPr>
            <w:color w:val="0000FF"/>
          </w:rPr>
          <w:t>(строка 2 таблицы)</w:t>
        </w:r>
      </w:hyperlink>
      <w:r>
        <w:t xml:space="preserve"> за I квартал и полугодие 2024 г. берем сумму выручки за 2023 год, так как она превышает величину выручки за I квартал и полугодие 2024 г.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По итогам 9 месяцев 2024 г. выручка, исчисленная нарастающим итогом с начала года, превысила сумму выручки 2023 года,</w:t>
      </w:r>
      <w:r>
        <w:t xml:space="preserve"> поэтому при расчете максимальной суммы резерва за 9 месяцев 2024 г. берем в расчет сумму выручки за 9 месяцев 2024 г.</w:t>
      </w:r>
    </w:p>
    <w:p w:rsidR="009B5BB9" w:rsidRPr="009269C9" w:rsidRDefault="00042C10">
      <w:pPr>
        <w:pStyle w:val="ConsPlusNormal"/>
        <w:spacing w:before="200"/>
        <w:ind w:firstLine="540"/>
        <w:jc w:val="both"/>
        <w:rPr>
          <w:b/>
        </w:rPr>
      </w:pPr>
      <w:r w:rsidRPr="009269C9">
        <w:rPr>
          <w:b/>
        </w:rPr>
        <w:t xml:space="preserve">В IV квартале 2024 г. выявлена безнадежная дебиторская задолженность в сумме 350 000 руб., которая полностью списана за счет резерва </w:t>
      </w:r>
      <w:hyperlink w:anchor="P102" w:tooltip="Сумма безнадежных долгов, списываемых за счет резерва">
        <w:r w:rsidRPr="009269C9">
          <w:rPr>
            <w:b/>
            <w:color w:val="0000FF"/>
          </w:rPr>
          <w:t>(строка 4 таблицы)</w:t>
        </w:r>
      </w:hyperlink>
      <w:r w:rsidRPr="009269C9">
        <w:rPr>
          <w:b/>
        </w:rPr>
        <w:t>.</w:t>
      </w:r>
    </w:p>
    <w:p w:rsidR="009B5BB9" w:rsidRPr="009269C9" w:rsidRDefault="00042C10">
      <w:pPr>
        <w:pStyle w:val="ConsPlusNormal"/>
        <w:spacing w:before="200"/>
        <w:ind w:firstLine="540"/>
        <w:jc w:val="both"/>
        <w:rPr>
          <w:b/>
        </w:rPr>
      </w:pPr>
      <w:r w:rsidRPr="009269C9">
        <w:rPr>
          <w:b/>
        </w:rPr>
        <w:t xml:space="preserve">Отчисления в резерв в составе внереализационных расходов </w:t>
      </w:r>
      <w:hyperlink w:anchor="P115" w:tooltip="Сумма доначисления (+) / уменьшения (-) резерва (строка 3 - строка 5)">
        <w:r w:rsidRPr="009269C9">
          <w:rPr>
            <w:b/>
            <w:color w:val="0000FF"/>
          </w:rPr>
          <w:t>(строка 6 таблицы)</w:t>
        </w:r>
      </w:hyperlink>
      <w:r w:rsidRPr="009269C9">
        <w:rPr>
          <w:b/>
        </w:rPr>
        <w:t xml:space="preserve"> в течение 2024 года будут следующими: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31 марта - 1 000 000 руб.;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30 июня - 0 руб.;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30 сентября - 750 000 руб.;</w:t>
      </w:r>
    </w:p>
    <w:p w:rsidR="009B5BB9" w:rsidRDefault="00042C10">
      <w:pPr>
        <w:pStyle w:val="ConsPlusNormal"/>
        <w:spacing w:before="200"/>
        <w:ind w:firstLine="540"/>
        <w:jc w:val="both"/>
      </w:pPr>
      <w:r w:rsidRPr="00042C10">
        <w:rPr>
          <w:highlight w:val="yellow"/>
        </w:rPr>
        <w:t>31 декабря - 1 350 000 руб.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При этом 30 июня организации необходимо включить в состав внереализационных доходов излишне н</w:t>
      </w:r>
      <w:r>
        <w:t>ачисленную сумму резерва - 1 000 000 руб.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Таким образом, при расчете налоговой базы за 2024 год в ней будут учтены следующие суммы, связанные с формированием резерва по сомнительным долгам: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lastRenderedPageBreak/>
        <w:t>- в составе внереализационных доходов - 1 000 000 руб. (30.06.2024</w:t>
      </w:r>
      <w:r>
        <w:t>).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- в составе внереализационных расходов - 3 100 000 руб. (1 000 000 руб. (31.03.2024) + 750 000 руб. (30.09.2024) + 1 350 000 руб. (31.12.2024)).</w:t>
      </w:r>
    </w:p>
    <w:p w:rsidR="009B5BB9" w:rsidRDefault="009B5BB9">
      <w:pPr>
        <w:pStyle w:val="ConsPlusNormal"/>
        <w:ind w:firstLine="540"/>
        <w:jc w:val="both"/>
      </w:pPr>
    </w:p>
    <w:p w:rsidR="009B5BB9" w:rsidRDefault="00042C10">
      <w:pPr>
        <w:pStyle w:val="ConsPlusNormal"/>
        <w:ind w:firstLine="540"/>
        <w:jc w:val="both"/>
      </w:pPr>
      <w:r>
        <w:t>Примечание. Приведенный выше пример показывает, что создание резерва по сомнительным долгам позволяет на за</w:t>
      </w:r>
      <w:r>
        <w:t>конном основании уменьшить налогооблагаемую прибыль организации. При наличии значительной суммы просроченных долгов покупателей и заказчиков организация получает легальную возможность существенно уменьшить свою налоговую базу по налогу на прибыль.</w:t>
      </w:r>
    </w:p>
    <w:p w:rsidR="009B5BB9" w:rsidRDefault="009B5BB9">
      <w:pPr>
        <w:pStyle w:val="ConsPlusNormal"/>
        <w:ind w:firstLine="540"/>
        <w:jc w:val="both"/>
      </w:pPr>
    </w:p>
    <w:p w:rsidR="009B5BB9" w:rsidRDefault="00042C10">
      <w:pPr>
        <w:pStyle w:val="ConsPlusNormal"/>
        <w:ind w:firstLine="540"/>
        <w:jc w:val="both"/>
      </w:pPr>
      <w:r>
        <w:t>Внимани</w:t>
      </w:r>
      <w:r>
        <w:t xml:space="preserve">е! Учитывая разные правила формирования резервов, установленные бухгалтерским и налоговым законодательством, в большинстве случаев суммы отчислений в резервы по сомнительным долгам в бухгалтерском и налоговом учете будут различаться. Соответственно, решая </w:t>
      </w:r>
      <w:r>
        <w:t>вопрос о создании или об отказе от создания резерва по сомнительным долгам при формировании учетной политики для целей налогообложения, меньше всего нужно думать о совмещении данных бухгалтерского и налогового учета. Нужно исходить лишь из того, что при на</w:t>
      </w:r>
      <w:r>
        <w:t>личии большого количества просроченных долгов покупателей и заказчиков создание резерва позволяет существенно снизить налоговую базу по налогу на прибыль (</w:t>
      </w:r>
      <w:hyperlink r:id="rId24" w:tooltip="Вопрос: О признании доходов и расходов, в том числе на формирование резервов по сомнительным долгам, при методе начисления в целях налога на прибыль. (Письмо Минфина России от 16.05.2022 N 03-03-06/1/44692) {КонсультантПлюс}">
        <w:r>
          <w:rPr>
            <w:color w:val="0000FF"/>
          </w:rPr>
          <w:t>Письмо</w:t>
        </w:r>
      </w:hyperlink>
      <w:r>
        <w:t xml:space="preserve"> Минфина России от 16.05.2022 N 03-03-06</w:t>
      </w:r>
      <w:r>
        <w:t>/1/44692).</w:t>
      </w:r>
    </w:p>
    <w:p w:rsidR="009B5BB9" w:rsidRDefault="009B5BB9">
      <w:pPr>
        <w:pStyle w:val="ConsPlusNormal"/>
        <w:ind w:firstLine="540"/>
        <w:jc w:val="both"/>
      </w:pPr>
    </w:p>
    <w:p w:rsidR="009B5BB9" w:rsidRDefault="00042C10">
      <w:pPr>
        <w:pStyle w:val="ConsPlusNormal"/>
        <w:ind w:firstLine="540"/>
        <w:jc w:val="both"/>
      </w:pPr>
      <w:r>
        <w:t>Обратите внимание! При принятии решения о создании резерва по сомнительным долгам необходимо принимать во внимание одну тонкость, важную для организаций, которые пользуются льготами, зависящими от величины доли тех или иных видов доходов (назов</w:t>
      </w:r>
      <w:r>
        <w:t>ем их профильными доходами) в общей сумме полученных доходов, в частности: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- для IT-компаний (льготные ставки по НП и взносам);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- организаций, осуществляющих деятельность в сфере РЭП (льготные ставки по НП и взносам);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 xml:space="preserve">- организаций общепита (льготы по НДС </w:t>
      </w:r>
      <w:r>
        <w:t>и взносам).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 xml:space="preserve">Алгоритм формирования резерва по сомнительным долгам, закрепленный в </w:t>
      </w:r>
      <w:hyperlink r:id="rId25" w:tooltip="&quot;Налоговый кодекс Российской Федерации (часть вторая)&quot; от 05.08.2000 N 117-ФЗ (ред. от 25.12.2023) ------------ Недействующая редакция {КонсультантПлюс}">
        <w:r>
          <w:rPr>
            <w:color w:val="0000FF"/>
          </w:rPr>
          <w:t>ст. 266</w:t>
        </w:r>
      </w:hyperlink>
      <w:r>
        <w:t xml:space="preserve"> НК РФ, предполагает, что при уменьшении суммы резерва излишне начисленные суммы подлежат отражению в составе внереализационных доходов.</w:t>
      </w:r>
    </w:p>
    <w:p w:rsidR="009B5BB9" w:rsidRDefault="00042C10">
      <w:pPr>
        <w:pStyle w:val="ConsPlusNormal"/>
        <w:spacing w:before="200"/>
        <w:ind w:firstLine="540"/>
        <w:jc w:val="both"/>
      </w:pPr>
      <w:r>
        <w:t>А суммы, включенные в состав внереали</w:t>
      </w:r>
      <w:r>
        <w:t>зационных доходов, участвуют в расчете пропорций для определения права на применение налоговых льгот. Чем выше величина внереализационных доходов, тем ниже доля профильных доходов в общей сумме доходов. Соответственно, если доля профильных доходов балансир</w:t>
      </w:r>
      <w:r>
        <w:t xml:space="preserve">ует на грани (не сильно превышает требуемые 70 или 90%), то </w:t>
      </w:r>
      <w:r>
        <w:rPr>
          <w:b/>
        </w:rPr>
        <w:t>восстановление резерва по сомнительным долгам может привести к потере права на применение налоговых льгот</w:t>
      </w:r>
      <w:r>
        <w:t xml:space="preserve"> (см. </w:t>
      </w:r>
      <w:hyperlink r:id="rId26" w:tooltip="Вопрос: Об учете IT-организацией доходов в виде сумм восстановленных резервов в целях применения пониженной ставки по налогу на прибыль и единого пониженного тарифа страховых взносов. (Письмо Минфина России от 31.08.2023 N 03-03-06/1/83043) {КонсультантПлюс}">
        <w:r>
          <w:rPr>
            <w:color w:val="0000FF"/>
          </w:rPr>
          <w:t>Письмо</w:t>
        </w:r>
      </w:hyperlink>
      <w:r>
        <w:t xml:space="preserve"> Минфина России от 31.08.2023 N 03-03-06/1/83043).</w:t>
      </w:r>
    </w:p>
    <w:p w:rsidR="009B5BB9" w:rsidRDefault="00042C10">
      <w:pPr>
        <w:pStyle w:val="ConsPlusNormal"/>
        <w:spacing w:before="200"/>
      </w:pPr>
      <w:r>
        <w:t>Подписано в печать</w:t>
      </w:r>
    </w:p>
    <w:p w:rsidR="009B5BB9" w:rsidRDefault="00042C10">
      <w:pPr>
        <w:pStyle w:val="ConsPlusNormal"/>
        <w:spacing w:before="200"/>
      </w:pPr>
      <w:r>
        <w:t>29.12.2023</w:t>
      </w:r>
    </w:p>
    <w:sectPr w:rsidR="009B5BB9">
      <w:pgSz w:w="11906" w:h="16838"/>
      <w:pgMar w:top="1440" w:right="566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5BB9"/>
    <w:rsid w:val="00042C10"/>
    <w:rsid w:val="009269C9"/>
    <w:rsid w:val="009B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55559"/>
  <w15:docId w15:val="{D5C4B2E8-A1D8-476C-83C1-6E676608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QUEST&amp;n=124976" TargetMode="External"/><Relationship Id="rId13" Type="http://schemas.openxmlformats.org/officeDocument/2006/relationships/hyperlink" Target="https://login.consultant.ru/link/?req=doc&amp;base=QUEST&amp;n=202030" TargetMode="External"/><Relationship Id="rId18" Type="http://schemas.openxmlformats.org/officeDocument/2006/relationships/hyperlink" Target="https://login.consultant.ru/link/?req=doc&amp;base=LAW&amp;n=465521&amp;dst=102320" TargetMode="External"/><Relationship Id="rId26" Type="http://schemas.openxmlformats.org/officeDocument/2006/relationships/hyperlink" Target="https://login.consultant.ru/link/?req=doc&amp;base=QUEST&amp;n=21956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65521&amp;dst=102320" TargetMode="External"/><Relationship Id="rId7" Type="http://schemas.openxmlformats.org/officeDocument/2006/relationships/hyperlink" Target="https://login.consultant.ru/link/?req=doc&amp;base=LAW&amp;n=465521&amp;dst=13890" TargetMode="External"/><Relationship Id="rId12" Type="http://schemas.openxmlformats.org/officeDocument/2006/relationships/hyperlink" Target="https://login.consultant.ru/link/?req=doc&amp;base=QUEST&amp;n=203632" TargetMode="External"/><Relationship Id="rId17" Type="http://schemas.openxmlformats.org/officeDocument/2006/relationships/hyperlink" Target="https://login.consultant.ru/link/?req=doc&amp;base=QUEST&amp;n=212049" TargetMode="External"/><Relationship Id="rId25" Type="http://schemas.openxmlformats.org/officeDocument/2006/relationships/hyperlink" Target="https://login.consultant.ru/link/?req=doc&amp;base=LAW&amp;n=465521&amp;dst=10232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65521&amp;dst=102320" TargetMode="External"/><Relationship Id="rId20" Type="http://schemas.openxmlformats.org/officeDocument/2006/relationships/hyperlink" Target="https://login.consultant.ru/link/?req=doc&amp;base=LAW&amp;n=465521&amp;dst=10232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521&amp;dst=101834" TargetMode="External"/><Relationship Id="rId11" Type="http://schemas.openxmlformats.org/officeDocument/2006/relationships/hyperlink" Target="https://login.consultant.ru/link/?req=doc&amp;base=QUEST&amp;n=211184" TargetMode="External"/><Relationship Id="rId24" Type="http://schemas.openxmlformats.org/officeDocument/2006/relationships/hyperlink" Target="https://login.consultant.ru/link/?req=doc&amp;base=QUEST&amp;n=211506" TargetMode="External"/><Relationship Id="rId5" Type="http://schemas.openxmlformats.org/officeDocument/2006/relationships/hyperlink" Target="https://login.consultant.ru/link/?req=doc&amp;base=LAW&amp;n=465521&amp;dst=3060" TargetMode="External"/><Relationship Id="rId15" Type="http://schemas.openxmlformats.org/officeDocument/2006/relationships/hyperlink" Target="https://login.consultant.ru/link/?req=doc&amp;base=LAW&amp;n=465521&amp;dst=102320" TargetMode="External"/><Relationship Id="rId23" Type="http://schemas.openxmlformats.org/officeDocument/2006/relationships/hyperlink" Target="https://login.consultant.ru/link/?req=doc&amp;base=ARB&amp;n=712754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5521&amp;dst=102320" TargetMode="External"/><Relationship Id="rId19" Type="http://schemas.openxmlformats.org/officeDocument/2006/relationships/hyperlink" Target="https://login.consultant.ru/link/?req=doc&amp;base=LAW&amp;n=465521&amp;dst=102320" TargetMode="External"/><Relationship Id="rId4" Type="http://schemas.openxmlformats.org/officeDocument/2006/relationships/hyperlink" Target="https://login.consultant.ru/link/?req=doc&amp;base=LAW&amp;n=465521&amp;dst=15076" TargetMode="External"/><Relationship Id="rId9" Type="http://schemas.openxmlformats.org/officeDocument/2006/relationships/hyperlink" Target="https://login.consultant.ru/link/?req=doc&amp;base=QUEST&amp;n=10986" TargetMode="External"/><Relationship Id="rId14" Type="http://schemas.openxmlformats.org/officeDocument/2006/relationships/hyperlink" Target="https://login.consultant.ru/link/?req=doc&amp;base=LAW&amp;n=465521&amp;dst=3060" TargetMode="External"/><Relationship Id="rId22" Type="http://schemas.openxmlformats.org/officeDocument/2006/relationships/hyperlink" Target="https://login.consultant.ru/link/?req=doc&amp;base=APV&amp;n=20608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2573</Words>
  <Characters>14668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"Учетная политика 2024: бухгалтерская и налоговая"
(Крутякова Т.Л.)
("АйСи Групп", 2024)</vt:lpstr>
    </vt:vector>
  </TitlesOfParts>
  <Company>КонсультантПлюс Версия 4024.00.32</Company>
  <LinksUpToDate>false</LinksUpToDate>
  <CharactersWithSpaces>17207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"Учетная политика 2024: бухгалтерская и налоговая"
(Крутякова Т.Л.)
("АйСи Групп", 2024)</dc:title>
  <cp:lastModifiedBy>Мартыненко</cp:lastModifiedBy>
  <cp:revision>2</cp:revision>
  <dcterms:created xsi:type="dcterms:W3CDTF">2024-10-24T06:06:00Z</dcterms:created>
  <dcterms:modified xsi:type="dcterms:W3CDTF">2024-10-24T06:20:00Z</dcterms:modified>
</cp:coreProperties>
</file>